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דף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לתלמידי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כיתות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ט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בנושא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40"/>
          <w:szCs w:val="40"/>
          <w:shd w:fill="fce5cd" w:val="clear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שיבוץ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לקבוצות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לימוד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במתמטיקה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תיכון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הדרים</w:t>
      </w:r>
      <w:r w:rsidDel="00000000" w:rsidR="00000000" w:rsidRPr="00000000">
        <w:rPr>
          <w:sz w:val="40"/>
          <w:szCs w:val="40"/>
          <w:shd w:fill="fce5cd" w:val="clear"/>
          <w:rtl w:val="1"/>
        </w:rPr>
        <w:t xml:space="preserve"> 2025</w:t>
      </w:r>
    </w:p>
    <w:tbl>
      <w:tblPr>
        <w:tblStyle w:val="Table1"/>
        <w:bidiVisual w:val="1"/>
        <w:tblW w:w="9915.0" w:type="dxa"/>
        <w:jc w:val="left"/>
        <w:tblInd w:w="-10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2775"/>
        <w:gridCol w:w="3315"/>
        <w:tblGridChange w:id="0">
          <w:tblGrid>
            <w:gridCol w:w="3825"/>
            <w:gridCol w:w="2775"/>
            <w:gridCol w:w="331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ce5cd" w:val="clear"/>
          </w:tcPr>
          <w:p w:rsidR="00000000" w:rsidDel="00000000" w:rsidP="00000000" w:rsidRDefault="00000000" w:rsidRPr="00000000" w14:paraId="00000004">
            <w:pPr>
              <w:bidi w:val="1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1"/>
              </w:rPr>
              <w:t xml:space="preserve">חטיבת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השחר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עתידים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קבוצת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בחטיבה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ציון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משוקלל</w:t>
            </w:r>
            <w:r w:rsidDel="00000000" w:rsidR="00000000" w:rsidRPr="00000000">
              <w:rPr>
                <w:rtl w:val="1"/>
              </w:rPr>
              <w:t xml:space="preserve"> ( </w:t>
            </w:r>
            <w:r w:rsidDel="00000000" w:rsidR="00000000" w:rsidRPr="00000000">
              <w:rPr>
                <w:rtl w:val="1"/>
              </w:rPr>
              <w:t xml:space="preserve">מחצית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40% +</w:t>
            </w:r>
            <w:r w:rsidDel="00000000" w:rsidR="00000000" w:rsidRPr="00000000">
              <w:rPr>
                <w:rtl w:val="1"/>
              </w:rPr>
              <w:t xml:space="preserve">מחצית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 60%)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רמת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מופת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70 </w:t>
            </w:r>
            <w:r w:rsidDel="00000000" w:rsidR="00000000" w:rsidRPr="00000000">
              <w:rPr>
                <w:rtl w:val="1"/>
              </w:rPr>
              <w:t xml:space="preserve">ומעלה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מופת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60-70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נמוך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1"/>
              </w:rPr>
              <w:t xml:space="preserve">-60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5 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האצה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מחוננים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מצוינות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65-100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נמוך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1"/>
              </w:rPr>
              <w:t xml:space="preserve">-65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הקבצה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90-100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65-90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נמוך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1"/>
              </w:rPr>
              <w:t xml:space="preserve">-65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 /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4 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הקבצה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60-100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ce5cd" w:val="clear"/>
          </w:tcPr>
          <w:p w:rsidR="00000000" w:rsidDel="00000000" w:rsidP="00000000" w:rsidRDefault="00000000" w:rsidRPr="00000000" w14:paraId="0000002F">
            <w:pPr>
              <w:bidi w:val="1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1"/>
              </w:rPr>
              <w:t xml:space="preserve">חטיבות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ראשונים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השיקמים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קבוצת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בחטיבה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ציון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משוקלל</w:t>
            </w:r>
            <w:r w:rsidDel="00000000" w:rsidR="00000000" w:rsidRPr="00000000">
              <w:rPr>
                <w:rtl w:val="1"/>
              </w:rPr>
              <w:t xml:space="preserve"> ( </w:t>
            </w:r>
            <w:r w:rsidDel="00000000" w:rsidR="00000000" w:rsidRPr="00000000">
              <w:rPr>
                <w:rtl w:val="1"/>
              </w:rPr>
              <w:t xml:space="preserve">מחצית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40% +  </w:t>
            </w:r>
            <w:r w:rsidDel="00000000" w:rsidR="00000000" w:rsidRPr="00000000">
              <w:rPr>
                <w:rtl w:val="1"/>
              </w:rPr>
              <w:t xml:space="preserve">מחצית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 60%)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רמת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נחשון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עמט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65 </w:t>
            </w:r>
            <w:r w:rsidDel="00000000" w:rsidR="00000000" w:rsidRPr="00000000">
              <w:rPr>
                <w:rtl w:val="1"/>
              </w:rPr>
              <w:t xml:space="preserve">ומעלה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נמוך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1"/>
              </w:rPr>
              <w:t xml:space="preserve">-65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הקבצה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90-100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5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נמוך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1"/>
              </w:rPr>
              <w:t xml:space="preserve">-65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 /</w:t>
            </w:r>
            <w:r w:rsidDel="00000000" w:rsidR="00000000" w:rsidRPr="00000000">
              <w:rPr>
                <w:rtl w:val="1"/>
              </w:rPr>
              <w:t xml:space="preserve">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4 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הקבצה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55-100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מבחן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4 </w:t>
            </w:r>
            <w:r w:rsidDel="00000000" w:rsidR="00000000" w:rsidRPr="00000000">
              <w:rPr>
                <w:rtl w:val="1"/>
              </w:rPr>
              <w:t xml:space="preserve">יח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ל</w:t>
            </w:r>
          </w:p>
        </w:tc>
      </w:tr>
    </w:tbl>
    <w:p w:rsidR="00000000" w:rsidDel="00000000" w:rsidP="00000000" w:rsidRDefault="00000000" w:rsidRPr="00000000" w14:paraId="00000047">
      <w:pPr>
        <w:bidi w:val="1"/>
        <w:rPr>
          <w:b w:val="1"/>
          <w:sz w:val="24"/>
          <w:szCs w:val="24"/>
          <w:shd w:fill="fce5cd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shd w:fill="fce5cd" w:val="clear"/>
          <w:rtl w:val="1"/>
        </w:rPr>
        <w:t xml:space="preserve">מבחן</w:t>
      </w:r>
      <w:r w:rsidDel="00000000" w:rsidR="00000000" w:rsidRPr="00000000">
        <w:rPr>
          <w:b w:val="1"/>
          <w:sz w:val="24"/>
          <w:szCs w:val="24"/>
          <w:shd w:fill="fce5cd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fce5cd" w:val="clear"/>
          <w:rtl w:val="1"/>
        </w:rPr>
        <w:t xml:space="preserve">מעבר</w:t>
      </w:r>
      <w:r w:rsidDel="00000000" w:rsidR="00000000" w:rsidRPr="00000000">
        <w:rPr>
          <w:b w:val="1"/>
          <w:sz w:val="24"/>
          <w:szCs w:val="24"/>
          <w:shd w:fill="fce5cd" w:val="clear"/>
          <w:rtl w:val="1"/>
        </w:rPr>
        <w:t xml:space="preserve"> </w:t>
      </w:r>
    </w:p>
    <w:p w:rsidR="00000000" w:rsidDel="00000000" w:rsidP="00000000" w:rsidRDefault="00000000" w:rsidRPr="00000000" w14:paraId="0000004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תלמידים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המעוניינים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ללמוד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מתמטיקה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גבוהה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שצויין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בשיבוץ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ניתן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להיבחן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במבחן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מעבר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לרמה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המבוקשת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מועדי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color w:val="ff0000"/>
          <w:rtl w:val="1"/>
        </w:rPr>
        <w:t xml:space="preserve">מועד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ראשון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:  </w:t>
      </w:r>
      <w:r w:rsidDel="00000000" w:rsidR="00000000" w:rsidRPr="00000000">
        <w:rPr>
          <w:rtl w:val="1"/>
        </w:rPr>
        <w:t xml:space="preserve">ספטמבר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color w:val="ff0000"/>
          <w:rtl w:val="1"/>
        </w:rPr>
        <w:t xml:space="preserve">מועד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השני</w:t>
      </w:r>
      <w:r w:rsidDel="00000000" w:rsidR="00000000" w:rsidRPr="00000000">
        <w:rPr>
          <w:color w:val="ff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אוקטובר</w:t>
      </w:r>
      <w:r w:rsidDel="00000000" w:rsidR="00000000" w:rsidRPr="00000000">
        <w:rPr>
          <w:rtl w:val="1"/>
        </w:rPr>
        <w:t xml:space="preserve">- 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החגים</w:t>
      </w:r>
    </w:p>
    <w:p w:rsidR="00000000" w:rsidDel="00000000" w:rsidP="00000000" w:rsidRDefault="00000000" w:rsidRPr="00000000" w14:paraId="0000004E">
      <w:pPr>
        <w:bidi w:val="1"/>
        <w:rPr>
          <w:b w:val="1"/>
          <w:sz w:val="24"/>
          <w:szCs w:val="24"/>
          <w:shd w:fill="f4cccc" w:val="clear"/>
        </w:rPr>
      </w:pP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חומר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למבחן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מעבר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תחילת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שנת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הלימודים</w:t>
      </w:r>
      <w:r w:rsidDel="00000000" w:rsidR="00000000" w:rsidRPr="00000000">
        <w:rPr>
          <w:b w:val="1"/>
          <w:sz w:val="24"/>
          <w:szCs w:val="24"/>
          <w:shd w:fill="f4cccc" w:val="clear"/>
          <w:rtl w:val="1"/>
        </w:rPr>
        <w:t xml:space="preserve"> :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קיץ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bidi w:val="1"/>
        <w:spacing w:after="0" w:lineRule="auto"/>
        <w:ind w:left="720" w:hanging="360"/>
        <w:rPr/>
      </w:pPr>
      <w:r w:rsidDel="00000000" w:rsidR="00000000" w:rsidRPr="00000000">
        <w:rPr>
          <w:rtl w:val="1"/>
        </w:rPr>
        <w:t xml:space="preserve">הנכם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מאריכים</w:t>
      </w:r>
      <w:r w:rsidDel="00000000" w:rsidR="00000000" w:rsidRPr="00000000">
        <w:rPr>
          <w:rtl w:val="1"/>
        </w:rPr>
        <w:t xml:space="preserve"> 20/06/25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לגשת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>
          <w:u w:val="single"/>
        </w:rPr>
      </w:pPr>
      <w:r w:rsidDel="00000000" w:rsidR="00000000" w:rsidRPr="00000000">
        <w:rPr>
          <w:b w:val="1"/>
          <w:rtl w:val="1"/>
        </w:rPr>
        <w:t xml:space="preserve">להלן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רשימת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נושאים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למבחן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מעבר</w:t>
      </w:r>
      <w:r w:rsidDel="00000000" w:rsidR="00000000" w:rsidRPr="00000000">
        <w:rPr>
          <w:b w:val="1"/>
          <w:rtl w:val="1"/>
        </w:rPr>
        <w:t xml:space="preserve"> :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55.0" w:type="dxa"/>
        <w:jc w:val="left"/>
        <w:tblInd w:w="-10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4965"/>
        <w:tblGridChange w:id="0">
          <w:tblGrid>
            <w:gridCol w:w="5190"/>
            <w:gridCol w:w="4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הנושאים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למבחן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מעבר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-5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הנושאים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למבחן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מעבר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-4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טכניקה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אלגברית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●  </w:t>
            </w:r>
            <w:hyperlink r:id="rId6">
              <w:r w:rsidDel="00000000" w:rsidR="00000000" w:rsidRPr="00000000">
                <w:rPr>
                  <w:color w:val="666666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נוסחאות</w:t>
              </w:r>
            </w:hyperlink>
            <w:hyperlink r:id="rId8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הכפל</w:t>
              </w:r>
            </w:hyperlink>
            <w:hyperlink r:id="rId10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המקוצר</w:t>
              </w:r>
            </w:hyperlink>
            <w:hyperlink r:id="rId12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ופירוק</w:t>
              </w:r>
            </w:hyperlink>
            <w:hyperlink r:id="rId14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לגורמים</w:t>
              </w:r>
            </w:hyperlink>
            <w:hyperlink r:id="rId16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.</w:t>
              </w:r>
            </w:hyperlink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br w:type="textWrapping"/>
              <w:t xml:space="preserve">●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צמצום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שברים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אלגבריים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יחידות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בלבד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  <w:br w:type="textWrapping"/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●     </w:t>
            </w:r>
            <w:hyperlink r:id="rId17">
              <w:r w:rsidDel="00000000" w:rsidR="00000000" w:rsidRPr="00000000">
                <w:rPr>
                  <w:color w:val="666666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פתרון</w:t>
              </w:r>
            </w:hyperlink>
            <w:hyperlink r:id="rId19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משוואות</w:t>
              </w:r>
            </w:hyperlink>
            <w:hyperlink r:id="rId21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ריבועיות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בעזרת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פירוק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לגורמים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נוסחת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השורשים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השלמה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לריבוע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  <w:br w:type="textWrapping"/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●     </w:t>
            </w:r>
            <w:hyperlink r:id="rId23">
              <w:r w:rsidDel="00000000" w:rsidR="00000000" w:rsidRPr="00000000">
                <w:rPr>
                  <w:color w:val="666666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פירוק</w:t>
              </w:r>
            </w:hyperlink>
            <w:hyperlink r:id="rId25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של</w:t>
              </w:r>
            </w:hyperlink>
            <w:hyperlink r:id="rId27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תלת</w:t>
              </w:r>
            </w:hyperlink>
            <w:hyperlink r:id="rId29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איבר</w:t>
              </w:r>
            </w:hyperlink>
            <w:hyperlink r:id="rId31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ריבועי</w:t>
              </w:r>
            </w:hyperlink>
            <w:hyperlink r:id="rId33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- </w:t>
              </w:r>
            </w:hyperlink>
            <w:hyperlink r:id="rId34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טרינום</w:t>
              </w:r>
            </w:hyperlink>
            <w:hyperlink r:id="rId35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bidi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bidi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טכניקה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אלגברית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הפילוג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המורחב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פירוק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לגורמים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בעזרת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גורם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משותף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פתרון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משוואות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רציונליות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פשוטות</w:t>
            </w:r>
          </w:p>
          <w:p w:rsidR="00000000" w:rsidDel="00000000" w:rsidP="00000000" w:rsidRDefault="00000000" w:rsidRPr="00000000" w14:paraId="0000005B">
            <w:pPr>
              <w:widowControl w:val="0"/>
              <w:bidi w:val="1"/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bidi w:val="1"/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hd w:fill="ffffff" w:val="clear"/>
              <w:bidi w:val="1"/>
              <w:spacing w:after="160" w:line="312" w:lineRule="auto"/>
              <w:ind w:left="0" w:righ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1"/>
              </w:rPr>
              <w:t xml:space="preserve">פונקציות</w:t>
            </w:r>
            <w:r w:rsidDel="00000000" w:rsidR="00000000" w:rsidRPr="00000000">
              <w:rPr>
                <w:color w:val="666666"/>
                <w:sz w:val="24"/>
                <w:szCs w:val="24"/>
                <w:rtl w:val="1"/>
              </w:rPr>
              <w:br w:type="textWrapping"/>
              <w:t xml:space="preserve">●  </w:t>
            </w:r>
            <w:hyperlink r:id="rId36">
              <w:r w:rsidDel="00000000" w:rsidR="00000000" w:rsidRPr="00000000">
                <w:rPr>
                  <w:color w:val="666666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פונקציה</w:t>
              </w:r>
            </w:hyperlink>
            <w:hyperlink r:id="rId38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39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ריבועית</w:t>
              </w:r>
            </w:hyperlink>
            <w:hyperlink r:id="rId40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41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בייצוגים</w:t>
              </w:r>
            </w:hyperlink>
            <w:hyperlink r:id="rId42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 </w:t>
              </w:r>
            </w:hyperlink>
            <w:hyperlink r:id="rId43">
              <w:r w:rsidDel="00000000" w:rsidR="00000000" w:rsidRPr="00000000">
                <w:rPr>
                  <w:sz w:val="24"/>
                  <w:szCs w:val="24"/>
                  <w:rtl w:val="1"/>
                </w:rPr>
                <w:t xml:space="preserve">שונים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קודקוד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חיוביות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ושליליות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קודקוד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br w:type="textWrapping"/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●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פונקציה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קווית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שיפוע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משוואת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bidi w:val="1"/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פונקציות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bidi w:val="1"/>
              <w:spacing w:after="0" w:afterAutospacing="0" w:before="240"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פונקציה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ריבועית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מציאת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חיוביות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ושליליות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מציאת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הקיצון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הזזה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אופקית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ואנכית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hd w:fill="ffffff" w:val="clear"/>
              <w:bidi w:val="1"/>
              <w:spacing w:after="160" w:line="312" w:lineRule="auto"/>
              <w:ind w:left="720" w:righ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פונקציה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קווית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שיפוע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משוואת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תכונות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גרף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קיצון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חיוביות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ושליליות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הזזות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ושיקופים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תכונות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גרף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קיצון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וירידה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חיוביות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ושליליות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הזזות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bidi w:val="1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משוואות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לינאריות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מציאת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פרבולות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פרבולה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וישר</w:t>
            </w:r>
          </w:p>
        </w:tc>
        <w:tc>
          <w:tcPr>
            <w:vMerge w:val="restart"/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גיאומטריה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הגדרות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תכונות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ומשפטים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גיאומטריה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במערכת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צירים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בשילוב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הוכחות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סיבוכיות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נמוכה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widowControl w:val="0"/>
              <w:bidi w:val="1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משולש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שווה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שוקיים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דלתון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  <w:br w:type="textWrapping"/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מקבילים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דמיון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משולשים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מקבילית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מעויין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מלבן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ריבוע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widowControl w:val="0"/>
              <w:bidi w:val="1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גיאומטריה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חישוב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והוכחה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  <w:br w:type="textWrapping"/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משולש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שווה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שוקיים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דלתון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</w:t>
              <w:br w:type="textWrapping"/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מקבילים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דמיון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משולשים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מקבילית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מעויין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מלבן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ריבוע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משולש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זווית</w:t>
            </w:r>
          </w:p>
        </w:tc>
        <w:tc>
          <w:tcPr>
            <w:vMerge w:val="continue"/>
            <w:tcBorders>
              <w:top w:color="cccccc" w:space="0" w:sz="12" w:val="single"/>
              <w:left w:color="000000" w:space="0" w:sz="12" w:val="single"/>
              <w:bottom w:color="000000" w:space="0" w:sz="12" w:val="single"/>
              <w:right w:color="cccccc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bidi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b w:val="1"/>
          <w:sz w:val="24"/>
          <w:szCs w:val="24"/>
          <w:shd w:fill="d9d2e9" w:val="clear"/>
        </w:rPr>
      </w:pPr>
      <w:r w:rsidDel="00000000" w:rsidR="00000000" w:rsidRPr="00000000">
        <w:rPr>
          <w:u w:val="single"/>
          <w:shd w:fill="d9d2e9" w:val="clear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דוגמאות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למבחני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התאמה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משנים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קודמות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ניתן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לראות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בקישור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הבא</w:t>
      </w:r>
      <w:r w:rsidDel="00000000" w:rsidR="00000000" w:rsidRPr="00000000">
        <w:rPr>
          <w:b w:val="1"/>
          <w:sz w:val="24"/>
          <w:szCs w:val="24"/>
          <w:shd w:fill="d9d2e9" w:val="clear"/>
          <w:rtl w:val="1"/>
        </w:rPr>
        <w:t xml:space="preserve">: </w:t>
      </w:r>
    </w:p>
    <w:p w:rsidR="00000000" w:rsidDel="00000000" w:rsidP="00000000" w:rsidRDefault="00000000" w:rsidRPr="00000000" w14:paraId="0000006C">
      <w:pPr>
        <w:bidi w:val="1"/>
        <w:rPr>
          <w:b w:val="1"/>
        </w:rPr>
      </w:pPr>
      <w:hyperlink r:id="rId44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דוגמאות</w:t>
        </w:r>
      </w:hyperlink>
      <w:hyperlink r:id="rId45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46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למבחני</w:t>
        </w:r>
      </w:hyperlink>
      <w:hyperlink r:id="rId4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4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התאמה</w:t>
        </w:r>
      </w:hyperlink>
      <w:hyperlink r:id="rId4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5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משנים</w:t>
        </w:r>
      </w:hyperlink>
      <w:hyperlink r:id="rId5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52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קודמות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D">
      <w:pPr>
        <w:bidi w:val="1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שימו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לב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:  </w:t>
      </w:r>
      <w:r w:rsidDel="00000000" w:rsidR="00000000" w:rsidRPr="00000000">
        <w:rPr>
          <w:b w:val="1"/>
          <w:rtl w:val="1"/>
        </w:rPr>
        <w:t xml:space="preserve">משנת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הלימודים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תשפ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שינוי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במבנה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המבחן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בעקבות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שינוי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תכנית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הלימודים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>
          <w:u w:val="single"/>
        </w:rPr>
      </w:pPr>
      <w:r w:rsidDel="00000000" w:rsidR="00000000" w:rsidRPr="00000000">
        <w:rPr>
          <w:u w:val="single"/>
          <w:rtl w:val="0"/>
        </w:rPr>
        <w:br w:type="textWrapping"/>
      </w:r>
    </w:p>
    <w:p w:rsidR="00000000" w:rsidDel="00000000" w:rsidP="00000000" w:rsidRDefault="00000000" w:rsidRPr="00000000" w14:paraId="0000006F">
      <w:pPr>
        <w:bidi w:val="1"/>
        <w:rPr>
          <w:color w:val="1155cc"/>
          <w:sz w:val="27"/>
          <w:szCs w:val="27"/>
          <w:u w:val="single"/>
        </w:rPr>
      </w:pP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תוכנת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מפורטת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חטיבה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ניתן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לראות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בקישור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הבא</w:t>
      </w:r>
      <w:r w:rsidDel="00000000" w:rsidR="00000000" w:rsidRPr="00000000">
        <w:rPr>
          <w:b w:val="1"/>
          <w:sz w:val="24"/>
          <w:szCs w:val="24"/>
          <w:shd w:fill="ead1dc" w:val="clear"/>
          <w:rtl w:val="1"/>
        </w:rPr>
        <w:t xml:space="preserve">:</w:t>
      </w:r>
      <w:hyperlink r:id="rId53">
        <w:r w:rsidDel="00000000" w:rsidR="00000000" w:rsidRPr="00000000">
          <w:rPr>
            <w:b w:val="1"/>
            <w:sz w:val="24"/>
            <w:szCs w:val="24"/>
            <w:shd w:fill="ead1dc" w:val="clear"/>
            <w:rtl w:val="0"/>
          </w:rPr>
          <w:t xml:space="preserve"> </w:t>
        </w:r>
      </w:hyperlink>
      <w:r w:rsidDel="00000000" w:rsidR="00000000" w:rsidRPr="00000000">
        <w:rPr>
          <w:b w:val="1"/>
          <w:sz w:val="24"/>
          <w:szCs w:val="24"/>
          <w:shd w:fill="ead1dc" w:val="clear"/>
          <w:rtl w:val="0"/>
        </w:rPr>
        <w:br w:type="textWrapping"/>
      </w:r>
      <w:hyperlink r:id="rId54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פריסת</w:t>
        </w:r>
      </w:hyperlink>
      <w:hyperlink r:id="rId55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 </w:t>
        </w:r>
      </w:hyperlink>
      <w:hyperlink r:id="rId56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הוראה</w:t>
        </w:r>
      </w:hyperlink>
      <w:hyperlink r:id="rId57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 </w:t>
        </w:r>
      </w:hyperlink>
      <w:hyperlink r:id="rId58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לכיתה</w:t>
        </w:r>
      </w:hyperlink>
      <w:hyperlink r:id="rId59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 </w:t>
        </w:r>
      </w:hyperlink>
      <w:hyperlink r:id="rId60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ט</w:t>
        </w:r>
      </w:hyperlink>
      <w:hyperlink r:id="rId61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 </w:t>
        </w:r>
      </w:hyperlink>
      <w:hyperlink r:id="rId62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תשפ</w:t>
        </w:r>
      </w:hyperlink>
      <w:hyperlink r:id="rId63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"</w:t>
        </w:r>
      </w:hyperlink>
      <w:hyperlink r:id="rId64">
        <w:r w:rsidDel="00000000" w:rsidR="00000000" w:rsidRPr="00000000">
          <w:rPr>
            <w:color w:val="0000ee"/>
            <w:sz w:val="27"/>
            <w:szCs w:val="27"/>
            <w:u w:val="single"/>
            <w:rtl w:val="1"/>
          </w:rPr>
          <w:t xml:space="preserve">ה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240" w:before="240" w:lineRule="auto"/>
        <w:rPr>
          <w:b w:val="1"/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240" w:before="240" w:lineRule="auto"/>
        <w:rPr>
          <w:b w:val="1"/>
          <w:sz w:val="24"/>
          <w:szCs w:val="24"/>
          <w:shd w:fill="d9ead3" w:val="clear"/>
        </w:rPr>
      </w:pPr>
      <w:r w:rsidDel="00000000" w:rsidR="00000000" w:rsidRPr="00000000">
        <w:rPr>
          <w:b w:val="1"/>
          <w:sz w:val="24"/>
          <w:szCs w:val="24"/>
          <w:shd w:fill="d9ead3" w:val="clear"/>
          <w:rtl w:val="1"/>
        </w:rPr>
        <w:t xml:space="preserve">חומר</w:t>
      </w:r>
      <w:r w:rsidDel="00000000" w:rsidR="00000000" w:rsidRPr="00000000">
        <w:rPr>
          <w:b w:val="1"/>
          <w:sz w:val="24"/>
          <w:szCs w:val="24"/>
          <w:shd w:fill="d9ead3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d9ead3" w:val="clear"/>
          <w:rtl w:val="1"/>
        </w:rPr>
        <w:t xml:space="preserve">תרגול</w:t>
      </w:r>
      <w:r w:rsidDel="00000000" w:rsidR="00000000" w:rsidRPr="00000000">
        <w:rPr>
          <w:b w:val="1"/>
          <w:sz w:val="24"/>
          <w:szCs w:val="24"/>
          <w:shd w:fill="d9ead3" w:val="clear"/>
          <w:rtl w:val="1"/>
        </w:rPr>
        <w:t xml:space="preserve">:  </w:t>
      </w:r>
    </w:p>
    <w:p w:rsidR="00000000" w:rsidDel="00000000" w:rsidP="00000000" w:rsidRDefault="00000000" w:rsidRPr="00000000" w14:paraId="0000007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תיכון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ארכימדס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בהצלחה</w:t>
      </w:r>
      <w:r w:rsidDel="00000000" w:rsidR="00000000" w:rsidRPr="00000000">
        <w:rPr>
          <w:b w:val="1"/>
          <w:sz w:val="24"/>
          <w:szCs w:val="24"/>
          <w:rtl w:val="1"/>
        </w:rPr>
        <w:t xml:space="preserve">!!!</w:t>
      </w:r>
    </w:p>
    <w:p w:rsidR="00000000" w:rsidDel="00000000" w:rsidP="00000000" w:rsidRDefault="00000000" w:rsidRPr="00000000" w14:paraId="00000074">
      <w:pPr>
        <w:bidi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5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-428624</wp:posOffset>
          </wp:positionV>
          <wp:extent cx="1676400" cy="12144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6400" cy="1214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newhighmath.haifa.ac.il/index.php/2015-12-27-14-54-46" TargetMode="External"/><Relationship Id="rId42" Type="http://schemas.openxmlformats.org/officeDocument/2006/relationships/hyperlink" Target="https://newhighmath.haifa.ac.il/index.php/2015-12-27-14-54-46" TargetMode="External"/><Relationship Id="rId41" Type="http://schemas.openxmlformats.org/officeDocument/2006/relationships/hyperlink" Target="https://newhighmath.haifa.ac.il/index.php/2015-12-27-14-54-46" TargetMode="External"/><Relationship Id="rId44" Type="http://schemas.openxmlformats.org/officeDocument/2006/relationships/hyperlink" Target="https://drive.google.com/drive/folders/1yBvnDvVmubetKXNQwScvbsaM5O5tgDE3" TargetMode="External"/><Relationship Id="rId43" Type="http://schemas.openxmlformats.org/officeDocument/2006/relationships/hyperlink" Target="https://newhighmath.haifa.ac.il/index.php/2015-12-27-14-54-46" TargetMode="External"/><Relationship Id="rId46" Type="http://schemas.openxmlformats.org/officeDocument/2006/relationships/hyperlink" Target="https://drive.google.com/drive/folders/1yBvnDvVmubetKXNQwScvbsaM5O5tgDE3" TargetMode="External"/><Relationship Id="rId45" Type="http://schemas.openxmlformats.org/officeDocument/2006/relationships/hyperlink" Target="https://drive.google.com/drive/folders/1yBvnDvVmubetKXNQwScvbsaM5O5tgDE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ewhighmath.haifa.ac.il/index.php/2015-12-27-14-54-43" TargetMode="External"/><Relationship Id="rId48" Type="http://schemas.openxmlformats.org/officeDocument/2006/relationships/hyperlink" Target="https://drive.google.com/drive/folders/1yBvnDvVmubetKXNQwScvbsaM5O5tgDE3" TargetMode="External"/><Relationship Id="rId47" Type="http://schemas.openxmlformats.org/officeDocument/2006/relationships/hyperlink" Target="https://drive.google.com/drive/folders/1yBvnDvVmubetKXNQwScvbsaM5O5tgDE3" TargetMode="External"/><Relationship Id="rId49" Type="http://schemas.openxmlformats.org/officeDocument/2006/relationships/hyperlink" Target="https://drive.google.com/drive/folders/1yBvnDvVmubetKXNQwScvbsaM5O5tgDE3" TargetMode="External"/><Relationship Id="rId5" Type="http://schemas.openxmlformats.org/officeDocument/2006/relationships/styles" Target="styles.xml"/><Relationship Id="rId6" Type="http://schemas.openxmlformats.org/officeDocument/2006/relationships/hyperlink" Target="https://newhighmath.haifa.ac.il/index.php/2015-12-27-14-54-43" TargetMode="External"/><Relationship Id="rId7" Type="http://schemas.openxmlformats.org/officeDocument/2006/relationships/hyperlink" Target="https://newhighmath.haifa.ac.il/index.php/2015-12-27-14-54-43" TargetMode="External"/><Relationship Id="rId8" Type="http://schemas.openxmlformats.org/officeDocument/2006/relationships/hyperlink" Target="https://newhighmath.haifa.ac.il/index.php/2015-12-27-14-54-43" TargetMode="External"/><Relationship Id="rId31" Type="http://schemas.openxmlformats.org/officeDocument/2006/relationships/hyperlink" Target="https://newhighmath.haifa.ac.il/index.php/2015-12-27-14-54-45" TargetMode="External"/><Relationship Id="rId30" Type="http://schemas.openxmlformats.org/officeDocument/2006/relationships/hyperlink" Target="https://newhighmath.haifa.ac.il/index.php/2015-12-27-14-54-45" TargetMode="External"/><Relationship Id="rId33" Type="http://schemas.openxmlformats.org/officeDocument/2006/relationships/hyperlink" Target="https://newhighmath.haifa.ac.il/index.php/2015-12-27-14-54-45" TargetMode="External"/><Relationship Id="rId32" Type="http://schemas.openxmlformats.org/officeDocument/2006/relationships/hyperlink" Target="https://newhighmath.haifa.ac.il/index.php/2015-12-27-14-54-45" TargetMode="External"/><Relationship Id="rId35" Type="http://schemas.openxmlformats.org/officeDocument/2006/relationships/hyperlink" Target="https://newhighmath.haifa.ac.il/index.php/2015-12-27-14-54-45" TargetMode="External"/><Relationship Id="rId34" Type="http://schemas.openxmlformats.org/officeDocument/2006/relationships/hyperlink" Target="https://newhighmath.haifa.ac.il/index.php/2015-12-27-14-54-45" TargetMode="External"/><Relationship Id="rId37" Type="http://schemas.openxmlformats.org/officeDocument/2006/relationships/hyperlink" Target="https://newhighmath.haifa.ac.il/index.php/2015-12-27-14-54-46" TargetMode="External"/><Relationship Id="rId36" Type="http://schemas.openxmlformats.org/officeDocument/2006/relationships/hyperlink" Target="https://newhighmath.haifa.ac.il/index.php/2015-12-27-14-54-46" TargetMode="External"/><Relationship Id="rId39" Type="http://schemas.openxmlformats.org/officeDocument/2006/relationships/hyperlink" Target="https://newhighmath.haifa.ac.il/index.php/2015-12-27-14-54-46" TargetMode="External"/><Relationship Id="rId38" Type="http://schemas.openxmlformats.org/officeDocument/2006/relationships/hyperlink" Target="https://newhighmath.haifa.ac.il/index.php/2015-12-27-14-54-46" TargetMode="External"/><Relationship Id="rId62" Type="http://schemas.openxmlformats.org/officeDocument/2006/relationships/hyperlink" Target="https://docs.google.com/document/d/1vRoHzuxCd1ucxsDxjjBOixP3e-c1kMokY0QLPMCB44c/edit?usp=sharing" TargetMode="External"/><Relationship Id="rId61" Type="http://schemas.openxmlformats.org/officeDocument/2006/relationships/hyperlink" Target="https://docs.google.com/document/d/1vRoHzuxCd1ucxsDxjjBOixP3e-c1kMokY0QLPMCB44c/edit?usp=sharing" TargetMode="External"/><Relationship Id="rId20" Type="http://schemas.openxmlformats.org/officeDocument/2006/relationships/hyperlink" Target="https://newhighmath.haifa.ac.il/index.php/2015-12-27-14-54-44" TargetMode="External"/><Relationship Id="rId64" Type="http://schemas.openxmlformats.org/officeDocument/2006/relationships/hyperlink" Target="https://docs.google.com/document/d/1vRoHzuxCd1ucxsDxjjBOixP3e-c1kMokY0QLPMCB44c/edit?usp=sharing" TargetMode="External"/><Relationship Id="rId63" Type="http://schemas.openxmlformats.org/officeDocument/2006/relationships/hyperlink" Target="https://docs.google.com/document/d/1vRoHzuxCd1ucxsDxjjBOixP3e-c1kMokY0QLPMCB44c/edit?usp=sharing" TargetMode="External"/><Relationship Id="rId22" Type="http://schemas.openxmlformats.org/officeDocument/2006/relationships/hyperlink" Target="https://newhighmath.haifa.ac.il/index.php/2015-12-27-14-54-44" TargetMode="External"/><Relationship Id="rId21" Type="http://schemas.openxmlformats.org/officeDocument/2006/relationships/hyperlink" Target="https://newhighmath.haifa.ac.il/index.php/2015-12-27-14-54-44" TargetMode="External"/><Relationship Id="rId65" Type="http://schemas.openxmlformats.org/officeDocument/2006/relationships/header" Target="header1.xml"/><Relationship Id="rId24" Type="http://schemas.openxmlformats.org/officeDocument/2006/relationships/hyperlink" Target="https://newhighmath.haifa.ac.il/index.php/2015-12-27-14-54-45" TargetMode="External"/><Relationship Id="rId23" Type="http://schemas.openxmlformats.org/officeDocument/2006/relationships/hyperlink" Target="https://newhighmath.haifa.ac.il/index.php/2015-12-27-14-54-45" TargetMode="External"/><Relationship Id="rId60" Type="http://schemas.openxmlformats.org/officeDocument/2006/relationships/hyperlink" Target="https://docs.google.com/document/d/1vRoHzuxCd1ucxsDxjjBOixP3e-c1kMokY0QLPMCB44c/edit?usp=sharing" TargetMode="External"/><Relationship Id="rId26" Type="http://schemas.openxmlformats.org/officeDocument/2006/relationships/hyperlink" Target="https://newhighmath.haifa.ac.il/index.php/2015-12-27-14-54-45" TargetMode="External"/><Relationship Id="rId25" Type="http://schemas.openxmlformats.org/officeDocument/2006/relationships/hyperlink" Target="https://newhighmath.haifa.ac.il/index.php/2015-12-27-14-54-45" TargetMode="External"/><Relationship Id="rId28" Type="http://schemas.openxmlformats.org/officeDocument/2006/relationships/hyperlink" Target="https://newhighmath.haifa.ac.il/index.php/2015-12-27-14-54-45" TargetMode="External"/><Relationship Id="rId27" Type="http://schemas.openxmlformats.org/officeDocument/2006/relationships/hyperlink" Target="https://newhighmath.haifa.ac.il/index.php/2015-12-27-14-54-45" TargetMode="External"/><Relationship Id="rId29" Type="http://schemas.openxmlformats.org/officeDocument/2006/relationships/hyperlink" Target="https://newhighmath.haifa.ac.il/index.php/2015-12-27-14-54-45" TargetMode="External"/><Relationship Id="rId51" Type="http://schemas.openxmlformats.org/officeDocument/2006/relationships/hyperlink" Target="https://drive.google.com/drive/folders/1yBvnDvVmubetKXNQwScvbsaM5O5tgDE3" TargetMode="External"/><Relationship Id="rId50" Type="http://schemas.openxmlformats.org/officeDocument/2006/relationships/hyperlink" Target="https://drive.google.com/drive/folders/1yBvnDvVmubetKXNQwScvbsaM5O5tgDE3" TargetMode="External"/><Relationship Id="rId53" Type="http://schemas.openxmlformats.org/officeDocument/2006/relationships/hyperlink" Target="https://docs.google.com/document/d/1vPgGNHFsgjhf2E1ztn5FxngpTXERlggJD0mzuYIAr7Y/edit?usp=sharing" TargetMode="External"/><Relationship Id="rId52" Type="http://schemas.openxmlformats.org/officeDocument/2006/relationships/hyperlink" Target="https://drive.google.com/drive/folders/1yBvnDvVmubetKXNQwScvbsaM5O5tgDE3" TargetMode="External"/><Relationship Id="rId11" Type="http://schemas.openxmlformats.org/officeDocument/2006/relationships/hyperlink" Target="https://newhighmath.haifa.ac.il/index.php/2015-12-27-14-54-43" TargetMode="External"/><Relationship Id="rId55" Type="http://schemas.openxmlformats.org/officeDocument/2006/relationships/hyperlink" Target="https://docs.google.com/document/d/1vRoHzuxCd1ucxsDxjjBOixP3e-c1kMokY0QLPMCB44c/edit?usp=sharing" TargetMode="External"/><Relationship Id="rId10" Type="http://schemas.openxmlformats.org/officeDocument/2006/relationships/hyperlink" Target="https://newhighmath.haifa.ac.il/index.php/2015-12-27-14-54-43" TargetMode="External"/><Relationship Id="rId54" Type="http://schemas.openxmlformats.org/officeDocument/2006/relationships/hyperlink" Target="https://docs.google.com/document/d/1vRoHzuxCd1ucxsDxjjBOixP3e-c1kMokY0QLPMCB44c/edit?usp=sharing" TargetMode="External"/><Relationship Id="rId13" Type="http://schemas.openxmlformats.org/officeDocument/2006/relationships/hyperlink" Target="https://newhighmath.haifa.ac.il/index.php/2015-12-27-14-54-43" TargetMode="External"/><Relationship Id="rId57" Type="http://schemas.openxmlformats.org/officeDocument/2006/relationships/hyperlink" Target="https://docs.google.com/document/d/1vRoHzuxCd1ucxsDxjjBOixP3e-c1kMokY0QLPMCB44c/edit?usp=sharing" TargetMode="External"/><Relationship Id="rId12" Type="http://schemas.openxmlformats.org/officeDocument/2006/relationships/hyperlink" Target="https://newhighmath.haifa.ac.il/index.php/2015-12-27-14-54-43" TargetMode="External"/><Relationship Id="rId56" Type="http://schemas.openxmlformats.org/officeDocument/2006/relationships/hyperlink" Target="https://docs.google.com/document/d/1vRoHzuxCd1ucxsDxjjBOixP3e-c1kMokY0QLPMCB44c/edit?usp=sharing" TargetMode="External"/><Relationship Id="rId15" Type="http://schemas.openxmlformats.org/officeDocument/2006/relationships/hyperlink" Target="https://newhighmath.haifa.ac.il/index.php/2015-12-27-14-54-43" TargetMode="External"/><Relationship Id="rId59" Type="http://schemas.openxmlformats.org/officeDocument/2006/relationships/hyperlink" Target="https://docs.google.com/document/d/1vRoHzuxCd1ucxsDxjjBOixP3e-c1kMokY0QLPMCB44c/edit?usp=sharing" TargetMode="External"/><Relationship Id="rId14" Type="http://schemas.openxmlformats.org/officeDocument/2006/relationships/hyperlink" Target="https://newhighmath.haifa.ac.il/index.php/2015-12-27-14-54-43" TargetMode="External"/><Relationship Id="rId58" Type="http://schemas.openxmlformats.org/officeDocument/2006/relationships/hyperlink" Target="https://docs.google.com/document/d/1vRoHzuxCd1ucxsDxjjBOixP3e-c1kMokY0QLPMCB44c/edit?usp=sharing" TargetMode="External"/><Relationship Id="rId17" Type="http://schemas.openxmlformats.org/officeDocument/2006/relationships/hyperlink" Target="https://newhighmath.haifa.ac.il/index.php/2015-12-27-14-54-44" TargetMode="External"/><Relationship Id="rId16" Type="http://schemas.openxmlformats.org/officeDocument/2006/relationships/hyperlink" Target="https://newhighmath.haifa.ac.il/index.php/2015-12-27-14-54-43" TargetMode="External"/><Relationship Id="rId19" Type="http://schemas.openxmlformats.org/officeDocument/2006/relationships/hyperlink" Target="https://newhighmath.haifa.ac.il/index.php/2015-12-27-14-54-44" TargetMode="External"/><Relationship Id="rId18" Type="http://schemas.openxmlformats.org/officeDocument/2006/relationships/hyperlink" Target="https://newhighmath.haifa.ac.il/index.php/2015-12-27-14-54-4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